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5A2" w:rsidRDefault="001636C4">
      <w:pPr>
        <w:pStyle w:val="NormalWeb"/>
        <w:ind w:left="720" w:firstLine="720"/>
        <w:jc w:val="center"/>
        <w:rPr>
          <w:rStyle w:val="Hyperlink"/>
          <w:color w:val="17365D" w:themeColor="text2" w:themeShade="BF"/>
          <w:sz w:val="48"/>
          <w:szCs w:val="48"/>
        </w:rPr>
      </w:pPr>
      <w:r>
        <w:rPr>
          <w:rStyle w:val="Hyperlink"/>
          <w:color w:val="17365D" w:themeColor="text2" w:themeShade="BF"/>
          <w:sz w:val="48"/>
          <w:szCs w:val="48"/>
        </w:rPr>
        <w:t>Result Analysis</w:t>
      </w:r>
    </w:p>
    <w:p w:rsidR="00E615A2" w:rsidRDefault="00E615A2">
      <w:pPr>
        <w:rPr>
          <w:rFonts w:ascii="Arial" w:hAnsi="Arial" w:cs="Arial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jc w:val="center"/>
        <w:rPr>
          <w:b/>
          <w:color w:val="17365D" w:themeColor="text2" w:themeShade="BF"/>
          <w:sz w:val="30"/>
        </w:rPr>
      </w:pPr>
      <w:r>
        <w:rPr>
          <w:b/>
          <w:color w:val="17365D" w:themeColor="text2" w:themeShade="BF"/>
          <w:sz w:val="30"/>
        </w:rPr>
        <w:t>KENDRIYA VIDYALAYA JAKHOO HILLS SHIMLA</w:t>
      </w:r>
    </w:p>
    <w:p w:rsidR="00E615A2" w:rsidRDefault="001636C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INTERNAL RESULT ANALYSIS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992"/>
        <w:gridCol w:w="744"/>
        <w:gridCol w:w="971"/>
        <w:gridCol w:w="1067"/>
        <w:gridCol w:w="1067"/>
        <w:gridCol w:w="1067"/>
        <w:gridCol w:w="1067"/>
        <w:gridCol w:w="1067"/>
        <w:gridCol w:w="1067"/>
      </w:tblGrid>
      <w:tr w:rsidR="00E615A2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Session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 to V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VI to VIII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IX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XI</w:t>
            </w:r>
          </w:p>
        </w:tc>
      </w:tr>
      <w:tr w:rsidR="00E615A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E615A2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</w:tr>
      <w:tr w:rsidR="00E615A2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2016-17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85.4%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88.1%</w:t>
            </w:r>
          </w:p>
        </w:tc>
      </w:tr>
      <w:tr w:rsidR="00E615A2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2017-18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62.5%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70.5%</w:t>
            </w:r>
          </w:p>
        </w:tc>
      </w:tr>
      <w:tr w:rsidR="00E615A2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2018-19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1636C4">
              <w:rPr>
                <w:b/>
                <w:color w:val="17365D" w:themeColor="text2" w:themeShade="BF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72.07%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70.71%</w:t>
            </w:r>
          </w:p>
        </w:tc>
      </w:tr>
      <w:tr w:rsidR="00E615A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2019-20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</w:tr>
      <w:tr w:rsidR="00E615A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2020-21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</w:tr>
      <w:tr w:rsidR="00E615A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2021-22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</w:tr>
    </w:tbl>
    <w:p w:rsidR="00E615A2" w:rsidRDefault="00E615A2">
      <w:pPr>
        <w:rPr>
          <w:b/>
          <w:color w:val="17365D" w:themeColor="text2" w:themeShade="BF"/>
        </w:rPr>
      </w:pPr>
    </w:p>
    <w:p w:rsidR="00E615A2" w:rsidRDefault="00E615A2">
      <w:pPr>
        <w:rPr>
          <w:b/>
          <w:color w:val="17365D" w:themeColor="text2" w:themeShade="BF"/>
        </w:rPr>
      </w:pPr>
    </w:p>
    <w:p w:rsidR="00E615A2" w:rsidRDefault="001636C4">
      <w:pPr>
        <w:pStyle w:val="ListParagraph"/>
        <w:numPr>
          <w:ilvl w:val="0"/>
          <w:numId w:val="2"/>
        </w:numPr>
        <w:ind w:left="2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Region –wise –compartment/failure Detail- CBSE(2011 and onwards) Class  XII</w:t>
      </w:r>
    </w:p>
    <w:p w:rsidR="00E615A2" w:rsidRDefault="00E615A2">
      <w:pPr>
        <w:pStyle w:val="ListParagraph"/>
        <w:rPr>
          <w:b/>
          <w:color w:val="17365D" w:themeColor="text2" w:themeShade="BF"/>
        </w:rPr>
      </w:pPr>
    </w:p>
    <w:tbl>
      <w:tblPr>
        <w:tblStyle w:val="TableGrid"/>
        <w:tblW w:w="8452" w:type="dxa"/>
        <w:tblLook w:val="04A0" w:firstRow="1" w:lastRow="0" w:firstColumn="1" w:lastColumn="0" w:noHBand="0" w:noVBand="1"/>
      </w:tblPr>
      <w:tblGrid>
        <w:gridCol w:w="1522"/>
        <w:gridCol w:w="1710"/>
        <w:gridCol w:w="1530"/>
        <w:gridCol w:w="1980"/>
        <w:gridCol w:w="1710"/>
      </w:tblGrid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APPEARED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COMPARTMENT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FAILED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864DA3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</w:tbl>
    <w:p w:rsidR="00E615A2" w:rsidRDefault="00E615A2">
      <w:pPr>
        <w:rPr>
          <w:color w:val="17365D" w:themeColor="text2" w:themeShade="BF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Pass percentage &amp; P.I Class XII</w:t>
      </w: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880"/>
        <w:gridCol w:w="3600"/>
      </w:tblGrid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PASS PERCENTAGE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P.I.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98.02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51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98.36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52.9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97.41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52.5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93.52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50.4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93.39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53.76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53.93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65.97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60.58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60.6</w:t>
            </w:r>
          </w:p>
        </w:tc>
      </w:tr>
      <w:tr w:rsidR="00864DA3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55.8</w:t>
            </w:r>
          </w:p>
        </w:tc>
      </w:tr>
      <w:tr w:rsidR="00961BD4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Default="00961BD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Default="00961BD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Default="00961BD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lastRenderedPageBreak/>
        <w:t>SUJBECT WISE ANALYSIS OF CLASS XII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363"/>
        <w:gridCol w:w="890"/>
        <w:gridCol w:w="910"/>
        <w:gridCol w:w="942"/>
        <w:gridCol w:w="916"/>
        <w:gridCol w:w="933"/>
        <w:gridCol w:w="859"/>
        <w:gridCol w:w="718"/>
        <w:gridCol w:w="718"/>
      </w:tblGrid>
      <w:tr w:rsidR="00E615A2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Sl.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Subject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P.I.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(2016)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(2017)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(2019)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(2020)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</w:t>
            </w:r>
            <w:r w:rsidR="00864DA3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(2021)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53.484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48.8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46.38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55.87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50.58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54.65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Hindi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43.038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39.1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42.54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59.74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51.09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67.41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63.55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58.19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26.4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43.58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49.62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63.97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43.75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42.59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Physics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50.49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58.7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51.49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59.27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59.72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54.17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Chemistry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46.814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41.53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58.46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64.81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60.56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77.2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50.83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49.34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88.55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76.14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79.89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I. 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80.625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60.6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51.79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62.5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47.92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47.22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Economics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13.352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35.8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27.56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31.63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45.37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57.66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69.25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66.89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B. Studies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57.422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55.6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34.48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37.82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63.54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61.03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57.29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Accountancy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48.047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38.79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30.45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38.24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40.10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History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83.974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79.7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73.44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69.5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74.72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69.29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70.63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Geography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64.423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62.5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62.5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67.25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81.11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68.75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66.67</w:t>
            </w:r>
          </w:p>
        </w:tc>
      </w:tr>
      <w:tr w:rsidR="00E615A2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Computer Science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 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51.0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41.48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60.42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87.5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65.44</w:t>
            </w:r>
          </w:p>
        </w:tc>
      </w:tr>
      <w:tr w:rsidR="00E615A2">
        <w:trPr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 Technology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59.375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42.3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35.29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35.98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61.8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45</w:t>
            </w:r>
          </w:p>
        </w:tc>
      </w:tr>
      <w:tr w:rsidR="00E615A2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Sanskrit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 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E615A2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E615A2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Sociology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75.0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E615A2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Pol. Sc.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46.759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Cs/>
                <w:color w:val="17365D" w:themeColor="text2" w:themeShade="BF"/>
              </w:rPr>
              <w:t>66.2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76.7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44.85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82.56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68.75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72.34</w:t>
            </w:r>
          </w:p>
        </w:tc>
      </w:tr>
      <w:tr w:rsidR="00E615A2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Physical Education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37.85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29.86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44.39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52.62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57.71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61.13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364"/>
        <w:gridCol w:w="882"/>
        <w:gridCol w:w="925"/>
        <w:gridCol w:w="954"/>
        <w:gridCol w:w="925"/>
        <w:gridCol w:w="943"/>
        <w:gridCol w:w="864"/>
        <w:gridCol w:w="694"/>
        <w:gridCol w:w="694"/>
      </w:tblGrid>
      <w:tr w:rsidR="00982A8E" w:rsidTr="00D85E36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Sl.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Subject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(2022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(2023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P.I.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(2024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(2025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(2026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(2027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(2028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P.I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(2029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Hindi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42.7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36.9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Physics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52.8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Chemistry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61.9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I. 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57.8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Economics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B. Studies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43.4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Accountancy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44.7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History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57.9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Geography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61.7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Computer Science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 Technology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Sanskrit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Sociology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Pol. Sc.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D85E3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Physical Education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D85E3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</w:tbl>
    <w:p w:rsidR="00982A8E" w:rsidRDefault="00982A8E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CLASS X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Pass percentage &amp; No. of 10 CGPA:</w:t>
      </w: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970"/>
        <w:gridCol w:w="4050"/>
      </w:tblGrid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PASS PERCENTAGE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NO. OF 10 CGPA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2013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2014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2015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17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14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93.44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:95.6%,IInd:93%,IIIrd:91%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:98.2%,IInd:94%,IIIrd:93.8%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:96%,IInd:91.6%,IIIrd:91.6%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:98.2%,IInd:94.8%,IIIrd:94%</w:t>
            </w:r>
          </w:p>
        </w:tc>
      </w:tr>
      <w:tr w:rsidR="001E45B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F" w:rsidRDefault="001E45B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F" w:rsidRDefault="001E45B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86.7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F" w:rsidRDefault="001E45B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:93.6%,IInd:91.6%,IIIrd:88.6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%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4"/>
        </w:numPr>
        <w:rPr>
          <w:b/>
          <w:bCs/>
          <w:caps/>
          <w:color w:val="17365D" w:themeColor="text2" w:themeShade="BF"/>
          <w:sz w:val="20"/>
          <w:szCs w:val="20"/>
        </w:rPr>
      </w:pPr>
      <w:r>
        <w:rPr>
          <w:b/>
          <w:bCs/>
          <w:caps/>
          <w:color w:val="17365D" w:themeColor="text2" w:themeShade="BF"/>
          <w:sz w:val="20"/>
          <w:szCs w:val="20"/>
        </w:rPr>
        <w:t>COMPARISON WITH LAST THREE YEARS: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Y="152"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4766"/>
      </w:tblGrid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YEAR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% of students securing CGPA 8 &amp; above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40.00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45.00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1636C4" w:rsidP="001E45BF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42.20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53.79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45.76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A55E8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8" w:rsidRDefault="00EA55E8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2022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8" w:rsidRDefault="00EA55E8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                        </w:t>
      </w: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SUJBECT WISE ANALYSIS OF CLASS X: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Y="31"/>
        <w:tblW w:w="8856" w:type="dxa"/>
        <w:tblLook w:val="04A0" w:firstRow="1" w:lastRow="0" w:firstColumn="1" w:lastColumn="0" w:noHBand="0" w:noVBand="1"/>
      </w:tblPr>
      <w:tblGrid>
        <w:gridCol w:w="541"/>
        <w:gridCol w:w="939"/>
        <w:gridCol w:w="1066"/>
        <w:gridCol w:w="1066"/>
        <w:gridCol w:w="1066"/>
        <w:gridCol w:w="1066"/>
        <w:gridCol w:w="1066"/>
        <w:gridCol w:w="1066"/>
        <w:gridCol w:w="980"/>
      </w:tblGrid>
      <w:tr w:rsidR="00E615A2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Sl. No.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Subject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(2015)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(2016)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(2017)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(2018)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(2019)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F85289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(2020</w:t>
            </w:r>
            <w:r w:rsidR="001636C4"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F85289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</w:t>
            </w:r>
            <w:r w:rsidR="00EA55E8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(2021</w:t>
            </w:r>
            <w:r w:rsidR="001636C4"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E615A2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English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Hindi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Sanskrit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color w:val="17365D" w:themeColor="text2" w:themeShade="BF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95.1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99.2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Social 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97.5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Y="31"/>
        <w:tblW w:w="8856" w:type="dxa"/>
        <w:tblLook w:val="04A0" w:firstRow="1" w:lastRow="0" w:firstColumn="1" w:lastColumn="0" w:noHBand="0" w:noVBand="1"/>
      </w:tblPr>
      <w:tblGrid>
        <w:gridCol w:w="541"/>
        <w:gridCol w:w="939"/>
        <w:gridCol w:w="1066"/>
        <w:gridCol w:w="1066"/>
        <w:gridCol w:w="1066"/>
        <w:gridCol w:w="1066"/>
        <w:gridCol w:w="1066"/>
        <w:gridCol w:w="1066"/>
        <w:gridCol w:w="980"/>
      </w:tblGrid>
      <w:tr w:rsidR="00F37634" w:rsidTr="00D85E36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Sl. No.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Subject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(2022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(2023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(2024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(2025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(2026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(2027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D85E3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Pass%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(2028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F37634" w:rsidTr="00F37634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English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Hindi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99.2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Sanskrit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color w:val="17365D" w:themeColor="text2" w:themeShade="BF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86.7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B4645B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Social 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B4645B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99.2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D85E3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1636C4" w:rsidRDefault="001636C4" w:rsidP="00B4645B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1636C4">
      <w:pgSz w:w="12240" w:h="15840"/>
      <w:pgMar w:top="709" w:right="1800" w:bottom="709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0CE"/>
    <w:multiLevelType w:val="hybridMultilevel"/>
    <w:tmpl w:val="4F14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767D"/>
    <w:multiLevelType w:val="hybridMultilevel"/>
    <w:tmpl w:val="4F64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289"/>
    <w:rsid w:val="001636C4"/>
    <w:rsid w:val="001E45BF"/>
    <w:rsid w:val="00394F0A"/>
    <w:rsid w:val="007C6F54"/>
    <w:rsid w:val="00864DA3"/>
    <w:rsid w:val="00961BD4"/>
    <w:rsid w:val="00982A8E"/>
    <w:rsid w:val="00B4645B"/>
    <w:rsid w:val="00D6146A"/>
    <w:rsid w:val="00E615A2"/>
    <w:rsid w:val="00EA55E8"/>
    <w:rsid w:val="00F37634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font6">
    <w:name w:val="font6"/>
    <w:basedOn w:val="Normal"/>
    <w:semiHidden/>
    <w:pPr>
      <w:spacing w:before="100" w:beforeAutospacing="1" w:after="100" w:afterAutospacing="1"/>
    </w:pPr>
    <w:rPr>
      <w:rFonts w:ascii="Algerian" w:hAnsi="Algerian"/>
      <w:b/>
      <w:bCs/>
      <w:i/>
      <w:iCs/>
      <w:sz w:val="48"/>
      <w:szCs w:val="48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font6">
    <w:name w:val="font6"/>
    <w:basedOn w:val="Normal"/>
    <w:semiHidden/>
    <w:pPr>
      <w:spacing w:before="100" w:beforeAutospacing="1" w:after="100" w:afterAutospacing="1"/>
    </w:pPr>
    <w:rPr>
      <w:rFonts w:ascii="Algerian" w:hAnsi="Algerian"/>
      <w:b/>
      <w:bCs/>
      <w:i/>
      <w:iCs/>
      <w:sz w:val="48"/>
      <w:szCs w:val="48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7BE3-0664-445D-BC02-7FF0A8F6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Results</vt:lpstr>
    </vt:vector>
  </TitlesOfParts>
  <Company>Self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Results</dc:title>
  <dc:creator>Shankar</dc:creator>
  <cp:lastModifiedBy>hppc</cp:lastModifiedBy>
  <cp:revision>11</cp:revision>
  <dcterms:created xsi:type="dcterms:W3CDTF">2022-07-12T15:48:00Z</dcterms:created>
  <dcterms:modified xsi:type="dcterms:W3CDTF">2023-01-31T07:48:00Z</dcterms:modified>
</cp:coreProperties>
</file>